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</w:tblGrid>
      <w:tr>
        <w:trPr>
          <w:trHeight w:val="168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C2C" w:val="clear"/>
            <w:vAlign w:val="top"/>
          </w:tcPr>
          <w:p>
            <w:pPr>
              <w:spacing w:before="4382"/>
            </w:pPr>
          </w:p>
          <w:p>
            <w:pPr>
              <w:pBdr>
                <w:bottom w:val="single" w:color="529286" w:sz="6" w:space="8"/>
              </w:pBdr>
              <w:spacing w:after="500"/>
              <w:ind w:left="1200" w:right="800"/>
            </w:pPr>
            <w:r>
              <w:rPr>
                <w:rFonts w:ascii="Arial" w:cs="Arial" w:eastAsia="Arial" w:hAnsi="Arial"/>
                <w:color w:val="529286"/>
                <w:spacing w:val="40"/>
                <w:sz w:val="18"/>
                <w:szCs w:val="18"/>
              </w:rPr>
              <w:t xml:space="preserve">D  O  C  U  M  E  N  T  A  T  I  O  N     A  U  D  I  T     R  E  P  O  R  T</w:t>
            </w:r>
          </w:p>
          <w:p>
            <w:pPr>
              <w:spacing w:after="100" w:line="598" w:lineRule="atLeast"/>
              <w:ind w:left="120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Аудит документации</w:t>
            </w:r>
          </w:p>
          <w:p>
            <w:pPr>
              <w:spacing w:after="300" w:line="598" w:lineRule="atLeast"/>
              <w:ind w:left="120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платформы lovii</w:t>
            </w:r>
          </w:p>
          <w:p>
            <w:pPr>
              <w:spacing w:after="800" w:line="312"/>
              <w:ind w:left="1200" w:right="800"/>
            </w:pPr>
            <w:r>
              <w:rPr>
                <w:rFonts w:ascii="Arial" w:cs="Arial" w:eastAsia="Arial" w:hAnsi="Arial"/>
                <w:color w:val="B0B8C0"/>
                <w:sz w:val="24"/>
                <w:szCs w:val="24"/>
              </w:rPr>
              <w:t xml:space="preserve">Сквозная сверка корпуса из 70 страниц: неточности, несоответствия, приоритеты исправлений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cs="Arial" w:eastAsia="Arial" w:hAnsi="Arial"/>
                <w:color w:val="90989F"/>
                <w:sz w:val="24"/>
                <w:szCs w:val="24"/>
              </w:rPr>
              <w:t xml:space="preserve">Объект: bestdeejay-design.github.io/lovii-crm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cs="Arial" w:eastAsia="Arial" w:hAnsi="Arial"/>
                <w:color w:val="90989F"/>
                <w:sz w:val="24"/>
                <w:szCs w:val="24"/>
              </w:rPr>
              <w:t xml:space="preserve">Глубина: полный корпус, 11 разделов, ~550 тыс. знаков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cs="Arial" w:eastAsia="Arial" w:hAnsi="Arial"/>
                <w:color w:val="90989F"/>
                <w:sz w:val="24"/>
                <w:szCs w:val="24"/>
              </w:rPr>
              <w:t xml:space="preserve">Метод: 4 трека извлечения фактов + автоматические проверки</w:t>
            </w:r>
          </w:p>
          <w:p>
            <w:pPr>
              <w:pBdr>
                <w:left w:val="single" w:color="529286" w:sz="8" w:space="12"/>
              </w:pBdr>
              <w:spacing w:after="80"/>
              <w:ind w:left="1400"/>
            </w:pPr>
            <w:r>
              <w:rPr>
                <w:rFonts w:ascii="Arial" w:cs="Arial" w:eastAsia="Arial" w:hAnsi="Arial"/>
                <w:color w:val="90989F"/>
                <w:sz w:val="24"/>
                <w:szCs w:val="24"/>
              </w:rPr>
              <w:t xml:space="preserve">Дата отчёта: 10 октября 2026 г.</w:t>
            </w:r>
          </w:p>
          <w:p>
            <w:pPr>
              <w:spacing w:before="4382"/>
            </w:pPr>
          </w:p>
          <w:p>
            <w:pPr>
              <w:pBdr>
                <w:top w:val="single" w:color="529286" w:sz="2" w:space="8"/>
              </w:pBdr>
              <w:spacing w:before="200"/>
              <w:ind w:left="1200" w:right="800"/>
            </w:pPr>
            <w:r>
              <w:rPr>
                <w:rFonts w:ascii="Arial" w:cs="Arial" w:eastAsia="Arial" w:hAnsi="Arial"/>
                <w:color w:val="687078"/>
                <w:sz w:val="16"/>
                <w:szCs w:val="16"/>
              </w:rPr>
              <w:t xml:space="preserve">Подготовлено: Super Z Audit</w:t>
            </w:r>
            <w:r>
              <w:t xml:space="preserve">                                        </w:t>
            </w:r>
            <w:r>
              <w:rPr>
                <w:rFonts w:ascii="Arial" w:cs="Arial" w:eastAsia="Arial" w:hAnsi="Arial"/>
                <w:color w:val="687078"/>
                <w:sz w:val="16"/>
                <w:szCs w:val="16"/>
              </w:rPr>
              <w:t xml:space="preserve">Ревизия №1 внешнего аудита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docGrid w:linePitch="360"/>
        </w:sectPr>
      </w:pPr>
    </w:p>
    <w:p>
      <w:pPr>
        <w:spacing w:after="360" w:before="480"/>
        <w:jc w:val="center"/>
      </w:pPr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Содержание</w:t>
      </w:r>
    </w:p>
    <w:sdt>
      <w:sdtPr>
        <w:alias w:val="Содержание"/>
      </w:sdtPr>
      <w:sdtContent>
        <w:p>
          <w:r>
            <w:fldChar w:fldCharType="begin" w:dirty="true"/>
          </w:r>
          <w:r>
            <w:instrText xml:space="preserve">TOC \h \o "1-2"</w:instrText>
          </w:r>
          <w:r>
            <w:fldChar w:fldCharType="separate"/>
          </w:r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00" w:history="1">
            <w:r>
              <w:rPr>
                <w:rStyle w:val="Hyperlink"/>
              </w:rPr>
              <w:t>1. Резюме аудита</w:t>
            </w:r>
            <w:r>
              <w:tab/>
            </w:r>
            <w:r>
              <w:fldChar w:fldCharType="begin"/>
            </w:r>
            <w:r>
              <w:instrText xml:space="preserve"> PAGEREF _Toc100000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01" w:history="1">
            <w:r>
              <w:rPr>
                <w:rStyle w:val="Hyperlink"/>
              </w:rPr>
              <w:t>2. Объект, объём и методика аудита</w:t>
            </w:r>
            <w:r>
              <w:tab/>
            </w:r>
            <w:r>
              <w:fldChar w:fldCharType="begin"/>
            </w:r>
            <w:r>
              <w:instrText xml:space="preserve"> PAGEREF _Toc100001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02" w:history="1">
            <w:r>
              <w:rPr>
                <w:rStyle w:val="Hyperlink"/>
              </w:rPr>
              <w:t>3. Критические несоответствия</w:t>
            </w:r>
            <w:r>
              <w:tab/>
            </w:r>
            <w:r>
              <w:fldChar w:fldCharType="begin"/>
            </w:r>
            <w:r>
              <w:instrText xml:space="preserve"> PAGEREF _Toc100002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3" w:history="1">
            <w:r>
              <w:rPr>
                <w:rStyle w:val="Hyperlink"/>
              </w:rPr>
              <w:t>3.1. Три несовместимых словаря статусов заказа и кухни (F-01)</w:t>
            </w:r>
            <w:r>
              <w:tab/>
            </w:r>
            <w:r>
              <w:fldChar w:fldCharType="begin"/>
            </w:r>
            <w:r>
              <w:instrText xml:space="preserve"> PAGEREF _Toc100003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4" w:history="1">
            <w:r>
              <w:rPr>
                <w:rStyle w:val="Hyperlink"/>
              </w:rPr>
              <w:t>3.2. Доставка: picked против picked_up и две модели отказа (F-02)</w:t>
            </w:r>
            <w:r>
              <w:tab/>
            </w:r>
            <w:r>
              <w:fldChar w:fldCharType="begin"/>
            </w:r>
            <w:r>
              <w:instrText xml:space="preserve"> PAGEREF _Toc100004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5" w:history="1">
            <w:r>
              <w:rPr>
                <w:rStyle w:val="Hyperlink"/>
              </w:rPr>
              <w:t>3.3. Поле источника заказа: source против channel (F-03)</w:t>
            </w:r>
            <w:r>
              <w:tab/>
            </w:r>
            <w:r>
              <w:fldChar w:fldCharType="begin"/>
            </w:r>
            <w:r>
              <w:instrText xml:space="preserve"> PAGEREF _Toc100005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6" w:history="1">
            <w:r>
              <w:rPr>
                <w:rStyle w:val="Hyperlink"/>
              </w:rPr>
              <w:t>3.4. Инверсия требования 152-ФЗ об уведомлении об утечке (F-04)</w:t>
            </w:r>
            <w:r>
              <w:tab/>
            </w:r>
            <w:r>
              <w:fldChar w:fldCharType="begin"/>
            </w:r>
            <w:r>
              <w:instrText xml:space="preserve"> PAGEREF _Toc100006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07" w:history="1">
            <w:r>
              <w:rPr>
                <w:rStyle w:val="Hyperlink"/>
              </w:rPr>
              <w:t>4. Противоречия между документами по темам</w:t>
            </w:r>
            <w:r>
              <w:tab/>
            </w:r>
            <w:r>
              <w:fldChar w:fldCharType="begin"/>
            </w:r>
            <w:r>
              <w:instrText xml:space="preserve"> PAGEREF _Toc100007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8" w:history="1">
            <w:r>
              <w:rPr>
                <w:rStyle w:val="Hyperlink"/>
              </w:rPr>
              <w:t>4.1. Деньги: комиссии, тарифы и ценовой пол (F-05, F-10, F-15, F-16, F-17, F-25, F-26)</w:t>
            </w:r>
            <w:r>
              <w:tab/>
            </w:r>
            <w:r>
              <w:fldChar w:fldCharType="begin"/>
            </w:r>
            <w:r>
              <w:instrText xml:space="preserve"> PAGEREF _Toc100008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09" w:history="1">
            <w:r>
              <w:rPr>
                <w:rStyle w:val="Hyperlink"/>
              </w:rPr>
              <w:t>4.2. Обещания продукта: онбординг, API, роялти, списание (F-06, F-07, F-14, F-21, F-22)</w:t>
            </w:r>
            <w:r>
              <w:tab/>
            </w:r>
            <w:r>
              <w:fldChar w:fldCharType="begin"/>
            </w:r>
            <w:r>
              <w:instrText xml:space="preserve"> PAGEREF _Toc100009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0" w:history="1">
            <w:r>
              <w:rPr>
                <w:rStyle w:val="Hyperlink"/>
              </w:rPr>
              <w:t>4.3. Регуляторика: даты ФФД 1.2 (F-08, F-43)</w:t>
            </w:r>
            <w:r>
              <w:tab/>
            </w:r>
            <w:r>
              <w:fldChar w:fldCharType="begin"/>
            </w:r>
            <w:r>
              <w:instrText xml:space="preserve"> PAGEREF _Toc100010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1" w:history="1">
            <w:r>
              <w:rPr>
                <w:rStyle w:val="Hyperlink"/>
              </w:rPr>
              <w:t>4.4. Контракты данных: заказ, склад, франшиза (F-09, F-24, F-32)</w:t>
            </w:r>
            <w:r>
              <w:tab/>
            </w:r>
            <w:r>
              <w:fldChar w:fldCharType="begin"/>
            </w:r>
            <w:r>
              <w:instrText xml:space="preserve"> PAGEREF _Toc100011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2" w:history="1">
            <w:r>
              <w:rPr>
                <w:rStyle w:val="Hyperlink"/>
              </w:rPr>
              <w:t>4.5. Демо и роли: числа и состав (F-12, F-13, F-33, F-36)</w:t>
            </w:r>
            <w:r>
              <w:tab/>
            </w:r>
            <w:r>
              <w:fldChar w:fldCharType="begin"/>
            </w:r>
            <w:r>
              <w:instrText xml:space="preserve"> PAGEREF _Toc100012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>
          <w:pPr>
            <w:pStyle w:val="11"/>
            <w:ind w:left="360"/>
            <w:tabs>
              <w:tab w:val="right" w:leader="dot" w:pos="9026"/>
            </w:tabs>
            <w:spacing w:before="120" w:after="60"/>
          </w:pPr>
          <w:hyperlink w:anchor="_Toc100013" w:history="1">
            <w:r>
              <w:rPr>
                <w:rStyle w:val="Hyperlink"/>
              </w:rPr>
              <w:t>4.6. Арифметика и база процентов (F-19, F-20, F-27)</w:t>
            </w:r>
            <w:r>
              <w:tab/>
            </w:r>
            <w:r>
              <w:fldChar w:fldCharType="begin"/>
            </w:r>
            <w:r>
              <w:instrText xml:space="preserve"> PAGEREF _Toc100013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14" w:history="1">
            <w:r>
              <w:rPr>
                <w:rStyle w:val="Hyperlink"/>
              </w:rPr>
              <w:t>5. Фактические неточности в академических разборах</w:t>
            </w:r>
            <w:r>
              <w:tab/>
            </w:r>
            <w:r>
              <w:fldChar w:fldCharType="begin"/>
            </w:r>
            <w:r>
              <w:instrText xml:space="preserve"> PAGEREF _Toc100014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15" w:history="1">
            <w:r>
              <w:rPr>
                <w:rStyle w:val="Hyperlink"/>
              </w:rPr>
              <w:t>6. Структурные и формальные проблемы</w:t>
            </w:r>
            <w:r>
              <w:tab/>
            </w:r>
            <w:r>
              <w:fldChar w:fldCharType="begin"/>
            </w:r>
            <w:r>
              <w:instrText xml:space="preserve"> PAGEREF _Toc100015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16" w:history="1">
            <w:r>
              <w:rPr>
                <w:rStyle w:val="Hyperlink"/>
              </w:rPr>
              <w:t>7. Проверено и подтверждено</w:t>
            </w:r>
            <w:r>
              <w:tab/>
            </w:r>
            <w:r>
              <w:fldChar w:fldCharType="begin"/>
            </w:r>
            <w:r>
              <w:instrText xml:space="preserve"> PAGEREF _Toc100016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17" w:history="1">
            <w:r>
              <w:rPr>
                <w:rStyle w:val="Hyperlink"/>
              </w:rPr>
              <w:t>8. Приоритетный план исправлений</w:t>
            </w:r>
            <w:r>
              <w:tab/>
            </w:r>
            <w:r>
              <w:fldChar w:fldCharType="begin"/>
            </w:r>
            <w:r>
              <w:instrText xml:space="preserve"> PAGEREF _Toc100017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>
          <w:pPr>
            <w:pStyle w:val="9"/>
            <w:tabs>
              <w:tab w:val="right" w:leader="dot" w:pos="9026"/>
            </w:tabs>
            <w:spacing w:before="120" w:after="60"/>
          </w:pPr>
          <w:hyperlink w:anchor="_Toc100018" w:history="1">
            <w:r>
              <w:rPr>
                <w:rStyle w:val="Hyperlink"/>
              </w:rPr>
              <w:t>9. Приложение: статистика корпуса и сводка реестра</w:t>
            </w:r>
            <w:r>
              <w:tab/>
            </w:r>
            <w:r>
              <w:fldChar w:fldCharType="begin"/>
            </w:r>
            <w:r>
              <w:instrText xml:space="preserve"> PAGEREF _Toc100018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>
          <w:r>
            <w:fldChar w:fldCharType="end"/>
          </w:r>
        </w:p>
      </w:sdtContent>
    </w:sdt>
    <w:p>
      <w:pPr>
        <w:spacing w:before="200"/>
      </w:pPr>
      <w:r>
        <w:rPr>
          <w:rFonts w:ascii="Times New Roman" w:cs="Times New Roman" w:eastAsia="Times New Roman" w:hAnsi="Times New Roman"/>
          <w:i/>
          <w:iCs/>
          <w:color w:val="888888"/>
          <w:sz w:val="18"/>
          <w:szCs w:val="18"/>
        </w:rPr>
        <w:t xml:space="preserve">Примечание: оглавление построено на кодах полей. После правок документа щёлкните по оглавлению правой кнопкой и выберите «Обновить поле», чтобы обновить номера страниц.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</w:p>
    <w:p>
      <w:pPr>
        <w:pStyle w:val="Heading1"/>
        <w:spacing w:after="160" w:before="360" w:line="312"/>
      </w:pPr>
      <w:bookmarkStart w:id="100000" w:name="_Toc100000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1. Резюме аудита</w:t>
      </w:r>
      <w:bookmarkEnd w:id="100000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Проведён внешний сквозной аудит документации платформы lovii, опубликованной по адресу bestdeejay-design.github.io/lovii-crm. Проверке подлежал полный корпус: 70 страниц объёмом около 550 тысяч знаков, охватывающих сводки, терминологию, 17 академических разборов, 12 компонентных спецификаций, 5 технических спецификаций с контрактами API, раздел SaaS-платформы, 13 аудитов конкурентов и план реализации. Задача аудита сформулирована владельцем корпуса как поиск неточностей и несоответствий между документами; фокус — внутренняя согласованность цифр, терминов, утверждений и перекрёстных ссылок.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Итог: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обнаружено 43 находки — 4 критические, 23 средние и 16 низких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. Корпус демонстрирует высокую связность на уровне стратегии: семь разрывов рынка трассируются в аудиты конкурентов, глоссарий согласован с терминологическими разборами, экономические расчёты франчайзинга сходятся между документами, а битых внутренних ссылок не найдено вовсе. Однако на уровне инженерных контрактов корпус рассинхронизирован: компоненты, модель данных и технические спецификации описывают три несовместимых словаря статусов заказа, два имени ключевого поля источника заказа и два момента списания по техкартам. Для документации, по которой предполагается писать код, это критический уровень риска.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К числу самых значимых находок относятся также: инверсия смысла требования 152-ФЗ об уведомлении об утечке в академическом разборе (документ буквально предписывает «не уведомлять» регулятора), комиссия агрегаторов, приводимая в четырёх неоговорённых представлениях, четыре разных срока онбординга точки (от «за часы» до «≤ 3 рабочих дней»), устаревший аудит-отчёт, описывающий корпус из 30 документов вместо 70, и расхождение заявленных чисел демо (30 экранов и 66 сценариев) с собственной таблицей покрытия (34 и 77).</w:t>
      </w:r>
    </w:p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1. Ключевые показатели аудита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45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Показатель</w:t>
            </w:r>
          </w:p>
        </w:tc>
        <w:tc>
          <w:tcPr>
            <w:tcW w:type="pct" w:w="55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type="pct" w:w="4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Проверено страниц</w:t>
            </w:r>
          </w:p>
        </w:tc>
        <w:tc>
          <w:tcPr>
            <w:tcW w:type="pct" w:w="5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70 (68 в sitemap + 2 обнаруженных сверх карты)</w:t>
            </w:r>
          </w:p>
        </w:tc>
      </w:tr>
      <w:tr>
        <w:trPr>
          <w:cantSplit/>
        </w:trPr>
        <w:tc>
          <w:tcPr>
            <w:tcW w:type="pct" w:w="45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Объём корпуса</w:t>
            </w:r>
          </w:p>
        </w:tc>
        <w:tc>
          <w:tcPr>
            <w:tcW w:type="pct" w:w="55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~550 тыс. знаков, ~78 тыс. слов</w:t>
            </w:r>
          </w:p>
        </w:tc>
      </w:tr>
      <w:tr>
        <w:trPr>
          <w:cantSplit/>
        </w:trPr>
        <w:tc>
          <w:tcPr>
            <w:tcW w:type="pct" w:w="4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Всего находок</w:t>
            </w:r>
          </w:p>
        </w:tc>
        <w:tc>
          <w:tcPr>
            <w:tcW w:type="pct" w:w="5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43: критических — 4, средних — 23, низких — 16</w:t>
            </w:r>
          </w:p>
        </w:tc>
      </w:tr>
      <w:tr>
        <w:trPr>
          <w:cantSplit/>
        </w:trPr>
        <w:tc>
          <w:tcPr>
            <w:tcW w:type="pct" w:w="45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Битые внутренние ссылки</w:t>
            </w:r>
          </w:p>
        </w:tc>
        <w:tc>
          <w:tcPr>
            <w:tcW w:type="pct" w:w="55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 (все относительные ссылки разрешаются)</w:t>
            </w:r>
          </w:p>
        </w:tc>
      </w:tr>
      <w:tr>
        <w:trPr>
          <w:cantSplit/>
        </w:trPr>
        <w:tc>
          <w:tcPr>
            <w:tcW w:type="pct" w:w="4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Страниц вне sitemap.xml</w:t>
            </w:r>
          </w:p>
        </w:tc>
        <w:tc>
          <w:tcPr>
            <w:tcW w:type="pct" w:w="5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 (в т.ч. полноценная страница saas/03)</w:t>
            </w:r>
          </w:p>
        </w:tc>
      </w:tr>
      <w:tr>
        <w:trPr>
          <w:cantSplit/>
        </w:trPr>
        <w:tc>
          <w:tcPr>
            <w:tcW w:type="pct" w:w="45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Страниц со статусом/датой ревизии</w:t>
            </w:r>
          </w:p>
        </w:tc>
        <w:tc>
          <w:tcPr>
            <w:tcW w:type="pct" w:w="55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 из 70</w:t>
            </w:r>
          </w:p>
        </w:tc>
      </w:tr>
      <w:tr>
        <w:trPr>
          <w:cantSplit/>
        </w:trPr>
        <w:tc>
          <w:tcPr>
            <w:tcW w:type="pct" w:w="4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Тематических групп противоречий</w:t>
            </w:r>
          </w:p>
        </w:tc>
        <w:tc>
          <w:tcPr>
            <w:tcW w:type="pct" w:w="55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 (данные, деньги, обещания, регуляторика, демо, терминология)</w:t>
            </w:r>
          </w:p>
        </w:tc>
      </w:tr>
    </w:tbl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Отчёт построен следующим образом: раздел 3 детально разбирает критические несоответствия, раздел 4 группирует междокументные противоречия по шести темам, раздел 5 фиксирует фактические ошибки академических разборов, разделы 6–7 отделяют формальные проблемы от того, что проверено и подтверждено, раздел 8 предлагает волновой план исправлений. Полный реестр всех 43 находок с цитатами и рекомендациями передан в виде книги Excel (lovii_crm_audit_register.xlsx) и служит рабочим чек-листом доработки корпуса.</w:t>
      </w:r>
    </w:p>
    <w:p>
      <w:pPr>
        <w:pStyle w:val="Heading1"/>
        <w:spacing w:after="160" w:before="360" w:line="312"/>
      </w:pPr>
      <w:bookmarkStart w:id="100001" w:name="_Toc100001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2. Объект, объём и методика аудита</w:t>
      </w:r>
      <w:bookmarkEnd w:id="100001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Объектом аудита является документационный корпус проекта lovii — ресторанной платформы полного цикла «заказ → чек → кухня → списание → курьер → отзыв → франшиза». Корпус опубликован как статический сайт на MkDocs Material и включает одиннадцать разделов: сводки и аудит корпуса (3 страницы), терминологические разборы (4), академическую серию (17), рынок и архитектуру (4), компоненты (12), технические спецификации (5), платёжную инфраструктуру (1), SaaS-платформу и демо (4), аудиты аналогов (13), выводы и планы (5), а также каталог схем и интерактивное демо. Аудит ограничен внутренней согласованностью: внешние источники (Росстат, НКР, публикации вендоров) перепроверялись выборочно — только там, где находка порождала внутреннее противоречие.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Методика состояла из пяти шагов. Первый — полный обход сайта по sitemap.xml с загрузкой всех 68 страниц и извлечением чистого текста; в ходе структурной проверки были обнаружены две дополнительные страницы вне карты сайта (интерактивное демо и страница сценариев ролей), после чего корпус составил 70 страниц. Второй шаг — автоматические проверки: разрешение 1 200+ внутренних ссылок с учётом относительных путей, поиск битых якорей, инвентаризация статус-меток и дат. Третий шаг — чтение ядра корпуса (сводки, рынок, blueprint, планы, спецификации) с фиксацией «канонической базы фактов». Четвёртый шаг — параллельная обработка всех остальных разделов по четырём направлениям (компоненты, академическая серия, конкуренты и инфраструктура, терминология и схемы) с построением факт-листов: каждое числовое утверждение, определение термина и перекрёстная ссылка заносились в реестр. Пятый шаг — сквозная сверка факт-листов с канонической базой и между собой, после чего каждая гипотеза о противоречии верифицировалась вручную по исходному тексту страницы.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Каждая находка получила идентификатор (F-01…F-43), серьёзность, тип, привязку к файлам, короткую цитату-доказательство и рекомендацию. Серьёзность присваивалась по влиянию: «критично» — противоречие блокирует разработку или искажает юридический смысл; «средне» — противоречие дезориентирует читателя, инвестора или команду; «низко» — формальные дефекты, опечатки и гигиена источников. Выборочные утверждения, опровергающие первоисточники (число пунктов DINESERV, даты Правила ФТК), дополнительно сверялись с внешними публикациями.</w:t>
      </w:r>
    </w:p>
    <w:p>
      <w:pPr>
        <w:pStyle w:val="Heading1"/>
        <w:spacing w:after="160" w:before="360" w:line="312"/>
      </w:pPr>
      <w:bookmarkStart w:id="100002" w:name="_Toc100002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3. Критические несоответствия</w:t>
      </w:r>
      <w:bookmarkEnd w:id="100002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Критическими признаны четыре находки: три касаются модели данных и жизненного цикла заказа — фундамента, на котором собирается вся платформа, — и одна искажает юридическое требование к обработке персональных данных. Во всех четырёх случаях расхождение подтверждено цитатами из нескольких документов корпуса, а не единичным ляпом: это следствие параллельной доработки разделов без единого источника правды.</w:t>
      </w:r>
    </w:p>
    <w:p>
      <w:pPr>
        <w:pStyle w:val="Heading2"/>
        <w:spacing w:after="120" w:before="280" w:line="312"/>
      </w:pPr>
      <w:bookmarkStart w:id="100003" w:name="_Toc100003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3.1. Три несовместимых словаря статусов заказа и кухни (F-01)</w:t>
      </w:r>
      <w:bookmarkEnd w:id="100003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Компонент 03 «Кухня и KDS» объявляет: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«Статусы accepted, kitchen, cooking, ready, served, packed, courier — единый словарь для зала и доставки»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. Но спецификация 01 описывает жизненный цикл заказа в виде другой машины состояний — new → accepted → kitchen → ready → served/packed → delivered|cancelled, — где статуса cooking нет вовсе, зато появляются new, delivered и cancelled. Контракт данных components/12, по которому предполагается проектировать БД, фиксирует третий вариант: KitchenTicket = queued | cooking | ready | served без accepted, kitchen и packed. Референс-архитектура добавляет четвёртый: queued → cooking → ready → expo/served, packed, — причём статус expo из её же формулы отсутствует даже в модели данных.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Практическое следствие: две команды, одна из которых читает компонент 03, а другая — спецификацию 01, реализуют разные жизненные циклы, и стыковка фронт-офиса с кухней потребует переделки. Токен courier в «едином словаре» компонента 03 одновременно смешивает уровень заказа с уровнем доставки, где статусами управляет отдельная сущность DeliveryAssignment. Корпус неоднократно декларирует принцип «единой модели данных на все каналы» — противоречие в самих статусах подрывает именно его.</w:t>
      </w:r>
    </w:p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2. Словари статусов по документам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Документ</w:t>
            </w:r>
          </w:p>
        </w:tc>
        <w:tc>
          <w:tcPr>
            <w:tcW w:type="pct" w:w="4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Статусы заказа/кухни</w:t>
            </w:r>
          </w:p>
        </w:tc>
        <w:tc>
          <w:tcPr>
            <w:tcW w:type="pct" w:w="32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Чего не хватает</w:t>
            </w:r>
          </w:p>
        </w:tc>
      </w:tr>
      <w:tr>
        <w:trPr>
          <w:cantSplit/>
        </w:trPr>
        <w:tc>
          <w:tcPr>
            <w:tcW w:type="pct" w:w="2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components/03 (KDS)</w:t>
            </w:r>
          </w:p>
        </w:tc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accepted, kitchen, cooking, ready, served, packed, courier</w:t>
            </w:r>
          </w:p>
        </w:tc>
        <w:tc>
          <w:tcPr>
            <w:tcW w:type="pct" w:w="3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queued, new, delivered, cancelled</w:t>
            </w:r>
          </w:p>
        </w:tc>
      </w:tr>
      <w:tr>
        <w:trPr>
          <w:cantSplit/>
        </w:trPr>
        <w:tc>
          <w:tcPr>
            <w:tcW w:type="pct" w:w="2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specs/01 (машина состояний)</w:t>
            </w:r>
          </w:p>
        </w:tc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new → accepted → kitchen → ready → served/packed → delivered | cancelled</w:t>
            </w:r>
          </w:p>
        </w:tc>
        <w:tc>
          <w:tcPr>
            <w:tcW w:type="pct" w:w="3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cooking, queued, expo</w:t>
            </w:r>
          </w:p>
        </w:tc>
      </w:tr>
      <w:tr>
        <w:trPr>
          <w:cantSplit/>
        </w:trPr>
        <w:tc>
          <w:tcPr>
            <w:tcW w:type="pct" w:w="2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components/12 (модель данных)</w:t>
            </w:r>
          </w:p>
        </w:tc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queued | cooking | ready | served</w:t>
            </w:r>
          </w:p>
        </w:tc>
        <w:tc>
          <w:tcPr>
            <w:tcW w:type="pct" w:w="3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accepted, kitchen, packed, expo, delivered</w:t>
            </w:r>
          </w:p>
        </w:tc>
      </w:tr>
      <w:tr>
        <w:trPr>
          <w:cantSplit/>
        </w:trPr>
        <w:tc>
          <w:tcPr>
            <w:tcW w:type="pct" w:w="2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01-reference-architecture</w:t>
            </w:r>
          </w:p>
        </w:tc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queued → cooking → ready → expo/served, packed</w:t>
            </w:r>
          </w:p>
        </w:tc>
        <w:tc>
          <w:tcPr>
            <w:tcW w:type="pct" w:w="3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accepted, kitchen, delivered</w:t>
            </w:r>
          </w:p>
        </w:tc>
      </w:tr>
      <w:tr>
        <w:trPr>
          <w:cantSplit/>
        </w:trPr>
        <w:tc>
          <w:tcPr>
            <w:tcW w:type="pct" w:w="2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components/05 (доставка)</w:t>
            </w:r>
          </w:p>
        </w:tc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accepted → cooking → packed → assigned → picked_up → delivering → delivered → paid → review</w:t>
            </w:r>
          </w:p>
        </w:tc>
        <w:tc>
          <w:tcPr>
            <w:tcW w:type="pct" w:w="3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каких-либо статусов кухни</w:t>
            </w:r>
          </w:p>
        </w:tc>
      </w:tr>
    </w:tbl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Рекомендация: зафиксировать один канонический перечислимый тип в components/12 и specs/01 (включая expo, packed, delivered, cancelled и явный статус оплаты), а компоненты 03 и 05 перевести на ссылки к нему. Изменение занимает часы, но снимает главный инженерный риск корпуса.</w:t>
      </w:r>
    </w:p>
    <w:p>
      <w:pPr>
        <w:pStyle w:val="Heading2"/>
        <w:spacing w:after="120" w:before="280" w:line="312"/>
      </w:pPr>
      <w:bookmarkStart w:id="100004" w:name="_Toc100004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3.2. Доставка: picked против picked_up и две модели отказа (F-02)</w:t>
      </w:r>
      <w:bookmarkEnd w:id="100004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На уровне доставки расхождение повторяется в меньшем масштабе, но с тем же эффектом. Модель данных (components/12) и спецификация 01 используют статус забора picked и статус отказа failed; компонент 05 — picked_up и отдельную сущность инцидента с переходом incident → cancelled. Различаются и поля подтверждения: компонент 05 обещает «фото или код» вручения, тогда как модель допускает только proof_photo. Контракт API specs/03 в этой части молчит, хотя именно статусы курьера питают обещания времени и уведомления гостя.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Для диспетчеризации это не косметика: обработка инцидентов — «курьер не забрал», «заказ потерян», «гость не принял» — меняет логику возвратов и списаний. Рекомендация: выбрать один токен (picked_up читаемее и самоописываем), принять одну модель отказа и добавить поле кода вручения, если сценарий «фото или код» остаётся в обещаниях продукта.</w:t>
      </w:r>
    </w:p>
    <w:p>
      <w:pPr>
        <w:pStyle w:val="Heading2"/>
        <w:spacing w:after="120" w:before="280" w:line="312"/>
      </w:pPr>
      <w:bookmarkStart w:id="100005" w:name="_Toc100005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3.3. Поле источника заказа: source против channel (F-03)</w:t>
      </w:r>
      <w:bookmarkEnd w:id="100005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Компонент 02 и референс-архитектура описывают заказ с полем source («Канал создаёт заказ: Order(source, items, guest_id)»), тогда как модель данных, доменная модель и контракт API используют поле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channel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 с перечислением pos | site | app | miniapp | kiosk | aggregator:yandex. Имя ключевого поля «единой модели данных» — главного архитектурного принципа корпуса — не согласовано между пятью документами. Дополнительная шероховатость: канал «телефон/колл-центр» упомянут в компоненте 02 как полноценный канал приёма, но отсутствует в обоих перечислениях.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Рекомендация: закрепить channel (как в контракте API — он однозначнее для аналитики каналов), дополнить перечисление каналом колл-центра и синхронизировать референс-архитектуру с моделью. До этого любые схемы аналитики «выручка по каналам» будут расходиться с фактической схемой БД.</w:t>
      </w:r>
    </w:p>
    <w:p>
      <w:pPr>
        <w:pStyle w:val="Heading2"/>
        <w:spacing w:after="120" w:before="280" w:line="312"/>
      </w:pPr>
      <w:bookmarkStart w:id="100006" w:name="_Toc100006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3.4. Инверсия требования 152-ФЗ об уведомлении об утечке (F-04)</w:t>
      </w:r>
      <w:bookmarkEnd w:id="100006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Академический разбор 4 «Лояльность и ПДн» в разделе требований к платформе утверждает: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000000"/>
          <w:sz w:val="24"/>
          <w:szCs w:val="24"/>
        </w:rPr>
        <w:t xml:space="preserve">«обязателен сам факт неуведомления об утечке в Роскомнадзор»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. Требование прочитано наоборот: по ст. 21 152-ФЗ оператор обязан уведомить Роскомнадзор об инциденте с персональными данными в течение 24 часов, а с 30 мая 2025 года за неуведомление введены значительные административные штрафы. Ошибка находится в документе, который в навигации корпуса назван «режим 152-ФЗ, сравнение с GDPR, чек-лист платформы», — то есть позиционируется как регуляторный ориентир для продукта.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Соседние утверждения того же раздела также требуют верификации: штраф «обработка без законного основания — до 300 тыс ₽» приведён без источника и может смешиваться со штрафом за неуведомление. Рекомендация: исправить формулировку на уведомление в течение 24 часов, заменить источники-заглушки ссылками на первоисточники (152-ФЗ, КоАП ст. 13.11) и включить регуляторные суммы в юридическую проверку. В документа, продающего «комплаенс из коробки», инверсия требования — репутационный риск.</w:t>
      </w:r>
    </w:p>
    <w:p>
      <w:pPr>
        <w:pStyle w:val="Heading1"/>
        <w:spacing w:after="160" w:before="360" w:line="312"/>
      </w:pPr>
      <w:bookmarkStart w:id="100007" w:name="_Toc100007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4. Противоречия между документами по темам</w:t>
      </w:r>
      <w:bookmarkEnd w:id="100007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Двадцать три средних находки группируются в шесть тем: деньги и тарифы, обещания продукта, регуляторика, контракты данных, демо и роли, терминология и арифметика. Ниже по каждой теме приведён разбор ключевого конфликта и сводная таблица остальных расхождений темы. Полные цитаты — в Excel-реестре.</w:t>
      </w:r>
    </w:p>
    <w:p>
      <w:pPr>
        <w:pStyle w:val="Heading2"/>
        <w:spacing w:after="120" w:before="280" w:line="312"/>
      </w:pPr>
      <w:bookmarkStart w:id="100008" w:name="_Toc100008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4.1. Деньги: комиссии, тарифы и ценовой пол (F-05, F-10, F-15, F-16, F-17, F-25, F-26)</w:t>
      </w:r>
      <w:bookmarkEnd w:id="100008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Самая широкая тема. Комиссии агрегаторов приводятся в четырёх представлениях: 17–30% в резюме, обзоре рынка и компоненте доставки; 16,67–29,17% без НДС в картах систем, компоненте каналов и юнит-экономике; 20–30% в третьем разделе того же юнит-экономического разбора; 20–35% как «экономия на прямых заказах» в опорном стеке и аудите middleware. Арифметически первая, вторая и четвёртая согласуются (16,67–29,17% × 1,2 НДС = 20–35%), но эквивалентность нигде не оговорена — читатель видит четыре разные цифры. Аналогично тарифная вилка «тяжёлых» систем «8–10+ тыс ₽/мес за кассу» опровергается собственными файлами: r_keeper Cloud оценён «от 4 085 ₽/мес», 1С:Фреш — «~2 684 ₽/мес», из-за чего ломается и утверждённая в обзоре рынка вилка «дешевле в 3–5 раз» (Quick Resto 4 990 ₽ против r_keeper Cloud 4 085 ₽ — разница 1,2×).</w:t>
      </w:r>
    </w:p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3. Расхождения по теме «деньги»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9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ID</w:t>
            </w:r>
          </w:p>
        </w:tc>
        <w:tc>
          <w:tcPr>
            <w:tcW w:type="pct" w:w="33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Где</w:t>
            </w:r>
          </w:p>
        </w:tc>
        <w:tc>
          <w:tcPr>
            <w:tcW w:type="pct" w:w="58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Суть расхождения</w:t>
            </w:r>
          </w:p>
        </w:tc>
      </w:tr>
      <w:tr>
        <w:trPr>
          <w:cantSplit/>
        </w:trPr>
        <w:tc>
          <w:tcPr>
            <w:tcW w:type="pct" w:w="9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F-05</w:t>
            </w:r>
          </w:p>
        </w:tc>
        <w:tc>
          <w:tcPr>
            <w:tcW w:type="pct" w:w="33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exec/market vs plan/02 vs academic/02</w:t>
            </w:r>
          </w:p>
        </w:tc>
        <w:tc>
          <w:tcPr>
            <w:tcW w:type="pct" w:w="5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Комиссия агрегаторов: 17–30% ↔ 16,67–29,17% без НДС ↔ 20–30% ↔ 20–35%; база (НДС) не указана</w:t>
            </w:r>
          </w:p>
        </w:tc>
      </w:tr>
      <w:tr>
        <w:trPr>
          <w:cantSplit/>
        </w:trPr>
        <w:tc>
          <w:tcPr>
            <w:tcW w:type="pct" w:w="9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F-10</w:t>
            </w:r>
          </w:p>
        </w:tc>
        <w:tc>
          <w:tcPr>
            <w:tcW w:type="pct" w:w="33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exec/G3 vs rkeeper/1c файлы</w:t>
            </w:r>
          </w:p>
        </w:tc>
        <w:tc>
          <w:tcPr>
            <w:tcW w:type="pct" w:w="5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«Тяжёлые 8–10+ тыс ₽/мес» ↔ r_keeper Cloud от 4 085 ₽, 1С:Фреш ~2 684 ₽/мес; «дешевле в 3–5 раз» не сходится</w:t>
            </w:r>
          </w:p>
        </w:tc>
      </w:tr>
      <w:tr>
        <w:trPr>
          <w:cantSplit/>
        </w:trPr>
        <w:tc>
          <w:tcPr>
            <w:tcW w:type="pct" w:w="9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F-15</w:t>
            </w:r>
          </w:p>
        </w:tc>
        <w:tc>
          <w:tcPr>
            <w:tcW w:type="pct" w:w="33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infrastructure внутренне + plan/02</w:t>
            </w:r>
          </w:p>
        </w:tc>
        <w:tc>
          <w:tcPr>
            <w:tcW w:type="pct" w:w="5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СБП 0,4–0,7% ↔ 0,3–0,7%; ККТ 12–60 тыс ↔ 20–60 тыс; ФН 8,5–15 ↔ 10–15 тыс; обл. касса 1,5–3,9 ↔ 1,5–3 тыс</w:t>
            </w:r>
          </w:p>
        </w:tc>
      </w:tr>
      <w:tr>
        <w:trPr>
          <w:cantSplit/>
        </w:trPr>
        <w:tc>
          <w:tcPr>
            <w:tcW w:type="pct" w:w="9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F-16</w:t>
            </w:r>
          </w:p>
        </w:tc>
        <w:tc>
          <w:tcPr>
            <w:tcW w:type="pct" w:w="33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saby-presto vs ru-smaller/toast/square</w:t>
            </w:r>
          </w:p>
        </w:tc>
        <w:tc>
          <w:tcPr>
            <w:tcW w:type="pct" w:w="5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«Ценовой пол рынка ~2 000 ₽/мес» ↔ модели 0 ₽ (Fusion POS, Toast $0, Square Free)</w:t>
            </w:r>
          </w:p>
        </w:tc>
      </w:tr>
      <w:tr>
        <w:trPr>
          <w:cantSplit/>
        </w:trPr>
        <w:tc>
          <w:tcPr>
            <w:tcW w:type="pct" w:w="9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F-17</w:t>
            </w:r>
          </w:p>
        </w:tc>
        <w:tc>
          <w:tcPr>
            <w:tcW w:type="pct" w:w="33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audit-report vs touchbistro</w:t>
            </w:r>
          </w:p>
        </w:tc>
        <w:tc>
          <w:tcPr>
            <w:tcW w:type="pct" w:w="5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«TouchBistro цену не раскрывает» ↔ «от $69/мес за терминал» в файле конкурента</w:t>
            </w:r>
          </w:p>
        </w:tc>
      </w:tr>
      <w:tr>
        <w:trPr>
          <w:cantSplit/>
        </w:trPr>
        <w:tc>
          <w:tcPr>
            <w:tcW w:type="pct" w:w="9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F-25</w:t>
            </w:r>
          </w:p>
        </w:tc>
        <w:tc>
          <w:tcPr>
            <w:tcW w:type="pct" w:w="33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exec vs index</w:t>
            </w:r>
          </w:p>
        </w:tc>
        <w:tc>
          <w:tcPr>
            <w:tcW w:type="pct" w:w="5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«14 классов систем» ↔ 13 файлов конкурентов ↔ 11 карточек навигации</w:t>
            </w:r>
          </w:p>
        </w:tc>
      </w:tr>
      <w:tr>
        <w:trPr>
          <w:cantSplit/>
        </w:trPr>
        <w:tc>
          <w:tcPr>
            <w:tcW w:type="pct" w:w="9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F-26</w:t>
            </w:r>
          </w:p>
        </w:tc>
        <w:tc>
          <w:tcPr>
            <w:tcW w:type="pct" w:w="33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components/02 vs middleware</w:t>
            </w:r>
          </w:p>
        </w:tc>
        <w:tc>
          <w:tcPr>
            <w:tcW w:type="pct" w:w="5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Otter: «100+ интеграций» ↔ «POS-интеграции с 20+ кассовыми системами»</w:t>
            </w:r>
          </w:p>
        </w:tc>
      </w:tr>
    </w:tbl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 по теме: зафиксировать в market-landscape канонические вилки с указанием базы («с НДС/без НДС», «за кассу/за точку»), остальные документы перевести на ссылки; переформулировать тарифное обобщение как «флагманские тарифы iiko Pro 8 600–10 600 ₽/мес» и ввести определение «класса системы», чтобы числа перестали расходиться.</w:t>
      </w:r>
    </w:p>
    <w:p>
      <w:pPr>
        <w:pStyle w:val="Heading2"/>
        <w:spacing w:after="120" w:before="280" w:line="312"/>
      </w:pPr>
      <w:bookmarkStart w:id="100009" w:name="_Toc100009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4.2. Обещания продукта: онбординг, API, роялти, списание (F-06, F-07, F-14, F-21, F-22)</w:t>
      </w:r>
      <w:bookmarkEnd w:id="100009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Срок онбординга точки варьируется от «за часы» (компонент франшизы, академический разбор 11, сценарий персоны U6) через «за день» (разрыв G7) до «≤ 3 дней» и «≤ 3 рабочих дней» (метрика blueprint и гейт фазы 4). Это не словесность: обещание попадает в инвест-материалы и в KPI продукта. Похожая судьба у принципа «открытый API с первого дня»: референс-архитектура заявляет его, компонент 11 включает чекбокс API в DoD MVP, но blueprint относит открытый API к P2/фазе 5, а план первых 90 дней его не упоминает. Третий конфликт — момент списания по ТТК: последовательность в specs/02 списывает ингредиенты при пробитии чека, тогда как компонент 03 прямо требует списания по статусу «готов», и демо работает именно так; при пробитии на отменах будет списываться незакупленное сырье.</w:t>
      </w:r>
    </w:p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4. Расхождения по теме «обещания»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9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ID</w:t>
            </w:r>
          </w:p>
        </w:tc>
        <w:tc>
          <w:tcPr>
            <w:tcW w:type="pct" w:w="33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Где</w:t>
            </w:r>
          </w:p>
        </w:tc>
        <w:tc>
          <w:tcPr>
            <w:tcW w:type="pct" w:w="58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Суть расхождения</w:t>
            </w:r>
          </w:p>
        </w:tc>
      </w:tr>
      <w:tr>
        <w:trPr>
          <w:cantSplit/>
        </w:trPr>
        <w:tc>
          <w:tcPr>
            <w:tcW w:type="pct" w:w="9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F-06</w:t>
            </w:r>
          </w:p>
        </w:tc>
        <w:tc>
          <w:tcPr>
            <w:tcW w:type="pct" w:w="33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G7 vs comp/09 vs blueprint vs plan/01</w:t>
            </w:r>
          </w:p>
        </w:tc>
        <w:tc>
          <w:tcPr>
            <w:tcW w:type="pct" w:w="5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Онбординг: «за день» ↔ «за часы» ↔ «≤3 дня» ↔ «≤3 рабочих дней»</w:t>
            </w:r>
          </w:p>
        </w:tc>
      </w:tr>
      <w:tr>
        <w:trPr>
          <w:cantSplit/>
        </w:trPr>
        <w:tc>
          <w:tcPr>
            <w:tcW w:type="pct" w:w="9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F-07</w:t>
            </w:r>
          </w:p>
        </w:tc>
        <w:tc>
          <w:tcPr>
            <w:tcW w:type="pct" w:w="33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ref-arch/comp-11 vs blueprint/plan</w:t>
            </w:r>
          </w:p>
        </w:tc>
        <w:tc>
          <w:tcPr>
            <w:tcW w:type="pct" w:w="5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«Открытый API с первого дня» и в DoD MVP ↔ P2/фаза 5, отсутствует в MVP-плане</w:t>
            </w:r>
          </w:p>
        </w:tc>
      </w:tr>
      <w:tr>
        <w:trPr>
          <w:cantSplit/>
        </w:trPr>
        <w:tc>
          <w:tcPr>
            <w:tcW w:type="pct" w:w="9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F-14</w:t>
            </w:r>
          </w:p>
        </w:tc>
        <w:tc>
          <w:tcPr>
            <w:tcW w:type="pct" w:w="33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specs/02 vs comp/03 и демо</w:t>
            </w:r>
          </w:p>
        </w:tc>
        <w:tc>
          <w:tcPr>
            <w:tcW w:type="pct" w:w="5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Списание по ТТК при пробитии ↔ при статусе «готов»</w:t>
            </w:r>
          </w:p>
        </w:tc>
      </w:tr>
      <w:tr>
        <w:trPr>
          <w:cantSplit/>
        </w:trPr>
        <w:tc>
          <w:tcPr>
            <w:tcW w:type="pct" w:w="9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F-21</w:t>
            </w:r>
          </w:p>
        </w:tc>
        <w:tc>
          <w:tcPr>
            <w:tcW w:type="pct" w:w="33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terminology vs comp/09</w:t>
            </w:r>
          </w:p>
        </w:tc>
        <w:tc>
          <w:tcPr>
            <w:tcW w:type="pct" w:w="5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Франшиза — «надстройка над классами» ↔ «не надстройка, а способ существования продукта»</w:t>
            </w:r>
          </w:p>
        </w:tc>
      </w:tr>
      <w:tr>
        <w:trPr>
          <w:cantSplit/>
        </w:trPr>
        <w:tc>
          <w:tcPr>
            <w:tcW w:type="pct" w:w="9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F-22</w:t>
            </w:r>
          </w:p>
        </w:tc>
        <w:tc>
          <w:tcPr>
            <w:tcW w:type="pct" w:w="33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personas П4/П5 vs terminology</w:t>
            </w:r>
          </w:p>
        </w:tc>
        <w:tc>
          <w:tcPr>
            <w:tcW w:type="pct" w:w="5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Роялти «еженедельно» ↔ «в конце месяца» ↔ ежемесячно; период не зафиксирован в comp/09</w:t>
            </w:r>
          </w:p>
        </w:tc>
      </w:tr>
    </w:tbl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Рекомендация: развести два показателя онбординга («шаблон клонируется за часы» — технический факт гейта Ф0; «полный запуск ≤ 3 рабочих дней» — продуктовая метрика) и использовать только их; переформулировать API как «внутренний контракт с фазы 1, публичный маркетплейс — фаза 5»; закрепить списание по готовности в specs/02; зафиксировать расчётный период роялти (например, понедельный расчёт с месячным закрытием).</w:t>
      </w:r>
    </w:p>
    <w:p>
      <w:pPr>
        <w:pStyle w:val="Heading2"/>
        <w:spacing w:after="120" w:before="280" w:line="312"/>
      </w:pPr>
      <w:bookmarkStart w:id="100010" w:name="_Toc100010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4.3. Регуляторика: даты ФФД 1.2 (F-08, F-43)</w:t>
      </w:r>
      <w:bookmarkEnd w:id="100010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Сроки обязательности ФФД 1.2 сформулированы тремя способами: «обязателен с 01.02–01.03.2025/2026» (обзор рынка — запись, не читаемая однозначно), «с 01.02.2025 для новых регистраций; с 01.03.2026 — единственный формат» (компонент 01), «формат 1.05 выведен с 01.03.2026» (инфраструктура). Глоссарий при этом сужает требование до «обязательная версия для маркировки», хотя компоненты 01 и 10 описывают всеобщую обязательность для новых ККТ. Для продукта, продающего «кассу из коробки», регуляторные даты — ядро ценностного предложения, и их разнобой в маркетинговых материалах опаснее любых технических опечаток.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Рекомендация: одна каноническая формулировка с двумя датами (новые регистрации с 01.02.2025; все новые ККТ с 01.03.2026) живёт в глоссарии; обзор рынка ссылается на неё; компонент 01 остаётся техническим источником. Заодно дополнить определение ФФД так, чтобы у читателя не возникло решения «у нас нет маркировки — ФФД 1.2 не нужен».</w:t>
      </w:r>
    </w:p>
    <w:p>
      <w:pPr>
        <w:pStyle w:val="Heading2"/>
        <w:spacing w:after="120" w:before="280" w:line="312"/>
      </w:pPr>
      <w:bookmarkStart w:id="100011" w:name="_Toc100011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4.4. Контракты данных: заказ, склад, франшиза (F-09, F-24, F-32)</w:t>
      </w:r>
      <w:bookmarkEnd w:id="100011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Контракт создания заказа расходится между моделью данных и API-спецификацией: components/12 описывает guest_phone?, payment_intent и перечисление каналов с phone; specs/03 — вложенный объект guest с полем consent, idempotency_key и delivery.slot, которого в модели нет. Поскольку именно эти два документа читают разработчики, расхождение эквивалентно двум разным ТЗ. Далее: сущность FranchiseAccount, названная в референс-архитектуре «ключевой», в модели данных отсутствует (её роль частично исполняют FranchiseAgreement и RoyaltyInvoice); в спецификации 01 у StockMovement восемь типов движений, в модели — девять (потерян writeoff_staff, важный для антифрода); подтверждение вручения в модели не имеет поля кода.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Рекомендация: объявить specs/03 источником контракта, components/12 — источником модели, и синхронизировать пары «поле ↔ атрибут» одним проходом; решить судьбу FranchiseAccount (ввести или пометить замещение); добавить writeoff_staff в specs/01 и proof_code в модель доставки.</w:t>
      </w:r>
    </w:p>
    <w:p>
      <w:pPr>
        <w:pStyle w:val="Heading2"/>
        <w:spacing w:after="120" w:before="280" w:line="312"/>
      </w:pPr>
      <w:bookmarkStart w:id="100012" w:name="_Toc100012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4.5. Демо и роли: числа и состав (F-12, F-13, F-33, F-36)</w:t>
      </w:r>
      <w:bookmarkEnd w:id="100012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Индекс и спецификация демо-кабинета повторяют «30 экранов, 10 ролей, 66 интерактивных сценариев», но сводная таблица раздела 13 страницы сценариев суммируется в 34 экрана и 77 действий. В таблице ролей демо-кабинета девять строк при выводе «Итого 10 ролей» — десятая роль, Закупщик, потеряна и в диаграмме людей карты платформы, хотя полноценный раздел сценариев Закупщика существует. Ролевые наборы по корпусу вообще не совпадают: 11 ролей в референс-архитектуре, 10 в демо, 8 в компоненте персонала, 7 в контексте спецификации 00, а названия плавают («Владелец»/«Собственник», «Менеджер УК»/«Операционный директор УК»). Контур франчайзи в сценариях — только crm, в демо и карте — crm + erp.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Рекомендация: пересчитать фактические маршруты демо и привести три документа к одним числам (добавив строку «Итого» в таблицу покрытия); вернуть Закупщика в таблицу ролей и диаграмму людей; завести единый реестр ролей с каноническими именами в глоссарии.</w:t>
      </w:r>
    </w:p>
    <w:p>
      <w:pPr>
        <w:pStyle w:val="Heading2"/>
        <w:spacing w:after="120" w:before="280" w:line="312"/>
      </w:pPr>
      <w:bookmarkStart w:id="100013" w:name="_Toc100013"/>
      <w:r>
        <w:rPr>
          <w:rFonts w:ascii="Arial" w:cs="Arial" w:eastAsia="Arial" w:hAnsi="Arial"/>
          <w:b/>
          <w:bCs/>
          <w:color w:val="0B1C2C"/>
          <w:sz w:val="28"/>
          <w:szCs w:val="28"/>
        </w:rPr>
        <w:t xml:space="preserve">4.6. Арифметика и база процентов (F-19, F-20, F-27)</w:t>
      </w:r>
      <w:bookmarkEnd w:id="100013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В академических разборах и компонентах есть три нестыковки, бьющие по доверию к цифрам. Правило «30/30/30/10» цитируется в расшифровке «аренда+ЖКХ / ФОТ / фудкост / прибыль», при этом собственная таблица бенчмарков того же разбора даёт аренду 10–15% и ориентир фудкоста 25% — правило противоречит соседней таблице. Пример «1 п.п. фудкоста при рентабельности 8% = ±10% прибыли» арифметически неверен: 50 тыс ₽ от прибыли 400 тыс ₽ — это 12,5%. Введение компонента кухни «теряются или зарабатываются 25–35% себестоимости» сбивает базу: в остальном корпусе 25–35% — диапазон ФОТ от выручки, а фудкост считается от выручки.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Рекомендация: привести каноническую расшифровку правила структуры затрат или заменить его собственным целевым балансом; исправить пример на «±12,5% прибыли» (или сменить базовую рентабельность на 10%); переформулировать вступление компонента 03 через п.п. фудкоста.</w:t>
      </w:r>
    </w:p>
    <w:p>
      <w:pPr>
        <w:pStyle w:val="Heading1"/>
        <w:spacing w:after="160" w:before="360" w:line="312"/>
      </w:pPr>
      <w:bookmarkStart w:id="100014" w:name="_Toc100014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5. Фактические неточности в академических разборах</w:t>
      </w:r>
      <w:bookmarkEnd w:id="100014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Академическая серия — сильная сторона корпуса: модели, принципы и классификации в большинстве сверены и корректны (Роджерс, Мэйстер, Голдратт, Касавана–Смит, модели CLV-когорт). Вместе с тем серия уже используется как источник терминов для остальных документов, поэтому фактические ошибки в ней тиражируются. Ниже — проверяемые расхождения с первоисточниками; случай 152-ФЗ рассмотрен в разделе 3.4 как критический.</w:t>
      </w:r>
    </w:p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5. Расхождения с первоисточниками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8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Документ</w:t>
            </w:r>
          </w:p>
        </w:tc>
        <w:tc>
          <w:tcPr>
            <w:tcW w:type="pct" w:w="38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Утверждение корпуса</w:t>
            </w:r>
          </w:p>
        </w:tc>
        <w:tc>
          <w:tcPr>
            <w:tcW w:type="pct" w:w="4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Как по первоисточнику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academic/08</w:t>
            </w:r>
          </w:p>
        </w:tc>
        <w:tc>
          <w:tcPr>
            <w:tcW w:type="pct" w:w="3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BG/BB — «Fader, Хардти, Ли (2007)», договорные (контрактные) отношения</w:t>
            </w:r>
          </w:p>
        </w:tc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BG/BB — Fader, Hardie, Shang (2010), неконтрактные дискретные транзакции; контрактный аналог — sBG (Fader &amp; Hardie, 2007) (F-18)</w:t>
            </w:r>
          </w:p>
        </w:tc>
      </w:tr>
      <w:tr>
        <w:trPr>
          <w:cantSplit/>
        </w:trPr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academic/03</w:t>
            </w:r>
          </w:p>
        </w:tc>
        <w:tc>
          <w:tcPr>
            <w:tcW w:type="pct" w:w="3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DINESERV — «28 утверждений»</w:t>
            </w:r>
          </w:p>
        </w:tc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29 пунктов (Stevens, Knutson &amp; Patton, 1995; Cornell HRA Quarterly) (F-28)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academic/17</w:t>
            </w:r>
          </w:p>
        </w:tc>
        <w:tc>
          <w:tcPr>
            <w:tcW w:type="pct" w:w="3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Правило ФТК о франшизе — «1979, обновлено 2010»</w:t>
            </w:r>
          </w:p>
        </w:tc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Поправки приняты в 2007 (16 CFR Part 436), обязательны с 01.07.2008 (F-30)</w:t>
            </w:r>
          </w:p>
        </w:tc>
      </w:tr>
      <w:tr>
        <w:trPr>
          <w:cantSplit/>
        </w:trPr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academic/17</w:t>
            </w:r>
          </w:p>
        </w:tc>
        <w:tc>
          <w:tcPr>
            <w:tcW w:type="pct" w:w="3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«Конкурсное право ЕС касается вертикальных соглашений»</w:t>
            </w:r>
          </w:p>
        </w:tc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Вертикальные соглашения регулирует конкурентное (антимонопольное) право; конкурсное право — банкротство (F-29)</w:t>
            </w:r>
          </w:p>
        </w:tc>
      </w:tr>
      <w:tr>
        <w:trPr>
          <w:cantSplit/>
        </w:trPr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academic/06</w:t>
            </w:r>
          </w:p>
        </w:tc>
        <w:tc>
          <w:tcPr>
            <w:tcW w:type="pct" w:w="3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«Критическая контрольная точка (ККТ/CCp)»</w:t>
            </w:r>
          </w:p>
        </w:tc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Акроним ККТ в корпусе занят «контрольно-кассовой техникой»; для CCP устоялось КТК/«критическая точка контроля» (F-31)</w:t>
            </w:r>
          </w:p>
        </w:tc>
      </w:tr>
      <w:tr>
        <w:trPr>
          <w:cantSplit/>
        </w:trPr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terminology-franchise</w:t>
            </w:r>
          </w:p>
        </w:tc>
        <w:tc>
          <w:tcPr>
            <w:tcW w:type="pct" w:w="3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Обязательность товарного знака — «с введением части четвёртой ГК»</w:t>
            </w:r>
          </w:p>
        </w:tc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Глава 54 ГК — в части второй (ст. 1027–1040); изменение режима товарных знаков — ФЗ-160 от 18.07.2008 (F-42)</w:t>
            </w:r>
          </w:p>
        </w:tc>
      </w:tr>
    </w:tbl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Отдельного внимания требуют источники: в разборах 1, 2 и 4 встречаются висячие сноски и названия-заглушки без ссылок, а во всех тринадцати файлах конкурентов числовые факт-маркеры не сопровождаются списком источников (он есть только у файла платёжной инфраструктуры). Для серии, которая претендует на академическую строгость и служит терминологическим ядром корпуса, закрытие сносок — недорогая работа с высоким эффектом.</w:t>
      </w:r>
    </w:p>
    <w:p>
      <w:pPr>
        <w:pStyle w:val="Heading1"/>
        <w:spacing w:after="160" w:before="360" w:line="312"/>
      </w:pPr>
      <w:bookmarkStart w:id="100015" w:name="_Toc100015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6. Структурные и формальные проблемы</w:t>
      </w:r>
      <w:bookmarkEnd w:id="100015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Структурные находки не искажают смысл отдельных утверждений, но снижают управляемость корпуса и его представимость для внешних читателей. Четыре группы проблем заслуживают внимания в первую очередь.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Карта сайта неполна (F-38).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sitemap.xml содержит 68 URL, но не содержит страницу сценариев ролей (полноценные 13 тыс. знаков контента, связанная из каталога схем) и интерактивное демо. Демо — JS-приложение, которое для поисковых систем и скринридеров выглядит пустой страницей; стоит добавить статическую заглушку с описанием.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Нет метаданных ревизии (F-39).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Ни одна из 70 страниц не имеет шапки со статусом и датой; даты встречаются лишь в трёх файлах. Прямое следствие — устаревший аудит-отчёт, который продолжает утверждать «30 документов» и «полнота 10/10» на корпус, выросший более чем вдвое (F-11).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Ограничение аудита-отчёта расходится с фактом (F-17).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Заявление «TouchBistro цену не раскрывает» опровергается файлом конкурента с ценой «от $69/мес» — раздел «ограничения» методологии теряет достоверность.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Опечатки и бренд (F-40).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«Отзыв госта», «покуток», «правилно», «горяней», «ФАТ/ВОЗ» вместо ФАО; бренд пишется lovii / «ловии» / «Ловии» в разных документах. Рекомендуется массовая вычитка и закрепление написания бренда.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Отдельного внимания заслуживают обещания без контракта. Спецификация 04 обещает «торговать без интернета неограниченно долго», тогда как blueprint задаёт проверяемую метрику «8 часов продаж без облака» (F-34); правило мок-банка «сумма кратна 997 → код 51» из демо-сценариев не описано в контракте мок-сервисов инфраструктуры, на который сценарий ссылается (F-37). В обоих случаях формулировка либо нереализуема в текущих документах, либо не подтверждена спецификацией, на которую указывает.</w:t>
      </w:r>
    </w:p>
    <w:p>
      <w:pPr>
        <w:pStyle w:val="Heading1"/>
        <w:spacing w:after="160" w:before="360" w:line="312"/>
      </w:pPr>
      <w:bookmarkStart w:id="100016" w:name="_Toc100016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7. Проверено и подтверждено</w:t>
      </w:r>
      <w:bookmarkEnd w:id="100016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Существенная часть корпуса сверку прошла безупречно — это важно зафиксировать, чтобы план исправлений не затирал работающее. Ниже перечислены сквозные согласованности, подтверждённые в ходе аудита с цитатами по каждой проверке (полный список — в листе «Позитивные проверки» Excel-реестра).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Глоссарий и терминология.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Определения фудкоста, ТТК, роялти, паушального взноса, франчайзера/УК согласованы между глоссарием и терминологическими разборами; термин «House Display System» не встречается, «КТТ» не встречается — везде ТТК.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Экономика франчайзинга.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Роялти 2–6% сходится в разборах 2, 5 и terminology-franchise; роялти «от фискальной выручки» согласовано по всему корпусу (ref-arch, specs, blueprint, демо).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Трассируемость разрывов.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Все 7 разрывов G1–G7 из gap-analysis подтверждаются цитатами из файлов конкурентов; «экономия 20–35%» подтверждена текстом middleware-delivery.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Каталог схем.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58 диаграмм = 35+11+6+4+1+1 подтверждены полной инвентаризацией корпуса; «32 страницы» сходится; ~20 проверенных якорей существуют.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Контракты API.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specs/03 каноничен: 12 REST-ресурсов, ошибки 409/422/423, идемпотентность, каталог событий — без внутренних противоречий.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Информационные потоки.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saas/01: «семь правил движения информации» — ровно семь; схема «источники → журнал → контуры» согласована с картой app/crm/erp.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Ссылки.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Битых внутренних ссылок нет: все относительные ссылки корпуса разрешаются на существующие страницы (проверено обходом 70 страниц).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Арифметика примеров.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Расчёт инфраструктуры (18 000+1 400+500 ≈ 21 000 ₽ = 1,4% выручки) и пересчёт 1С:Фреш (32 200/12 ≈ 2 684 ₽/мес) сходятся.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Согласованность демо.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10 ролей, дата сборки 10.10.2026, бонусы до 30% чека, авторизация мок-банка 0,7 с, индекс стандарта ≥85% — согласованы между saas/02, saas/03 и демо-данными.</w:t>
      </w:r>
    </w:p>
    <w:p>
      <w:pPr>
        <w:pStyle w:val="ListParagraph"/>
        <w:numPr>
          <w:ilvl w:val="0"/>
          <w:numId w:val="1"/>
        </w:numPr>
        <w:spacing w:after="60" w:line="312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Право франчайзинга.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64% франчайзеров, ~7,8 тыс. договоров концессии, 14 дней + 23 пункта FDD — согласованы между academic/17 и terminology-franchise.</w:t>
      </w:r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Из позитивных сверок следует практический вывод: стратегический слой корпуса (разрывы, экономика франшизы, глоссарий, каталожная механика) можно переиспользовать как есть, сосредоточив усилия на инженерных контрактах и числовых вилках. Это повышает приоритет волны 1 плана исправлений из раздела 8.</w:t>
      </w:r>
    </w:p>
    <w:p>
      <w:pPr>
        <w:pStyle w:val="Heading1"/>
        <w:spacing w:after="160" w:before="360" w:line="312"/>
      </w:pPr>
      <w:bookmarkStart w:id="100017" w:name="_Toc100017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8. Приоритетный план исправлений</w:t>
      </w:r>
      <w:bookmarkEnd w:id="100017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План разбит на три волны по принципу «сначала то, что блокирует разработку и юридически опасно, затем то, что видно читателю и инвестору, затем гигиена». Каждая строка привязана к находкам реестра и оценена по усилию: S — до половины дня, M — до двух дней, L — до недели работы одним владельцем.</w:t>
      </w:r>
    </w:p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6. Волна 1 — блокеры разработки и юридические риски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52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Действие</w:t>
            </w:r>
          </w:p>
        </w:tc>
        <w:tc>
          <w:tcPr>
            <w:tcW w:type="pct" w:w="16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Находки</w:t>
            </w:r>
          </w:p>
        </w:tc>
        <w:tc>
          <w:tcPr>
            <w:tcW w:type="pct" w:w="18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Владелец</w:t>
            </w:r>
          </w:p>
        </w:tc>
        <w:tc>
          <w:tcPr>
            <w:tcW w:type="pct" w:w="1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Усилие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Зафиксировать единый словарь статусов заказа/кухни/доставки в comp-12 и specs/01, остальные документы — на ссылки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F-01, F-02, F-32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Архитектор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</w:t>
            </w:r>
          </w:p>
        </w:tc>
      </w:tr>
      <w:tr>
        <w:trPr>
          <w:cantSplit/>
        </w:trPr>
        <w:tc>
          <w:tcPr>
            <w:tcW w:type="pct" w:w="5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Синхронизировать контракт заказа (channel, guest/consent, slot, idempotency) между comp-12 и specs/03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F-03, F-09</w:t>
            </w:r>
          </w:p>
        </w:tc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Техлид API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Исправить инверсию 152-ФЗ и заменить источники-заглушки; юрверификация штрафов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F-04, F-41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Юрист + автор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Зафиксировать канонические вилки комиссий и тарифов с указанием базы НДС; переформулировать «тяжёлые 8–10+ тыс»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F-05, F-10</w:t>
            </w:r>
          </w:p>
        </w:tc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Аналитик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Провести ревизию №2 аудита-отчёта (документы, ссылки, ограничения, TouchBistro)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F-11, F-17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Владелец корпуса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</w:t>
            </w:r>
          </w:p>
        </w:tc>
      </w:tr>
    </w:tbl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7. Волна 2 — публичные обещания и числа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52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Действие</w:t>
            </w:r>
          </w:p>
        </w:tc>
        <w:tc>
          <w:tcPr>
            <w:tcW w:type="pct" w:w="16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Находки</w:t>
            </w:r>
          </w:p>
        </w:tc>
        <w:tc>
          <w:tcPr>
            <w:tcW w:type="pct" w:w="18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Владелец</w:t>
            </w:r>
          </w:p>
        </w:tc>
        <w:tc>
          <w:tcPr>
            <w:tcW w:type="pct" w:w="1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Усилие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Развести «клонирование шаблона за часы» и «запуск точки ≤3 раб. дней» по всем документам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F-06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Продакт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Единая формулировка сроков ФФД 1.2 в глоссарии; поправить обзор рынка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F-08, F-43</w:t>
            </w:r>
          </w:p>
        </w:tc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Автор comp-01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Пересчитать маршруты демо; привести 30/66 к фактам; вернуть Закупщика в роли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F-12, F-13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Автор демо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Списание по ТТК — по готовности; поправить specs/02; период роялти зафиксировать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F-14, F-22</w:t>
            </w:r>
          </w:p>
        </w:tc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Архитектор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Каноническая расшифровка 30/30/30/10; исправить ±10% → ±12,5%; база «25–35%»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F-19, F-20, F-27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Автор разборов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Атрибуция BG/BB, DINESERV 29, ФТК 2007, «конкурентное право», ККТ-коллизия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F-18, F-28…F-31, F-42</w:t>
            </w:r>
          </w:p>
        </w:tc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Автор разборов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</w:tbl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8. Волна 3 — гигиена корпуса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52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Действие</w:t>
            </w:r>
          </w:p>
        </w:tc>
        <w:tc>
          <w:tcPr>
            <w:tcW w:type="pct" w:w="16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Находки</w:t>
            </w:r>
          </w:p>
        </w:tc>
        <w:tc>
          <w:tcPr>
            <w:tcW w:type="pct" w:w="18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Владелец</w:t>
            </w:r>
          </w:p>
        </w:tc>
        <w:tc>
          <w:tcPr>
            <w:tcW w:type="pct" w:w="1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Усилие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Метаданные «статус/дата ревизии» в шапку каждой страницы; переопубликовать sitemap; заглушка для /demo/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F-38, F-39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DevOps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</w:t>
            </w:r>
          </w:p>
        </w:tc>
      </w:tr>
      <w:tr>
        <w:trPr>
          <w:cantSplit/>
        </w:trPr>
        <w:tc>
          <w:tcPr>
            <w:tcW w:type="pct" w:w="5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Секции «Источники» в 13 файлах конкурентов; закрыть висячие сноски разборов 1/2/4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F-39, F-41</w:t>
            </w:r>
          </w:p>
        </w:tc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Автор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L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Единый реестр ролей и названий контуров в глоссарии; прогон замены по корпусу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F-23, F-33, F-36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Редактор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</w:t>
            </w:r>
          </w:p>
        </w:tc>
      </w:tr>
      <w:tr>
        <w:trPr>
          <w:cantSplit/>
        </w:trPr>
        <w:tc>
          <w:tcPr>
            <w:tcW w:type="pct" w:w="52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Вычитка опечаток; закрепить написание бренда «lovii»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F-40</w:t>
            </w:r>
          </w:p>
        </w:tc>
        <w:tc>
          <w:tcPr>
            <w:tcW w:type="pct" w:w="18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Редактор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</w:t>
            </w:r>
          </w:p>
        </w:tc>
      </w:tr>
      <w:tr>
        <w:trPr>
          <w:cantSplit/>
        </w:trPr>
        <w:tc>
          <w:tcPr>
            <w:tcW w:type="pct" w:w="52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Ценовой пол, Otter, Poster (валюты и лимиты), «14 классов», FranchiseAccount, offline 8 часов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F-16, F-24, F-25, F-26, F-34, F-35, F-37</w:t>
            </w:r>
          </w:p>
        </w:tc>
        <w:tc>
          <w:tcPr>
            <w:tcW w:type="pct" w:w="18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Аналитик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M</w:t>
            </w:r>
          </w:p>
        </w:tc>
      </w:tr>
    </w:tbl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Ожидаемый эффект волны 1: корпус становится безопасным источником для команд разработки; волны 2 — формулировки продукта и цифры перестают расходиться в презентациях; волны 3 — корпус получает управляемость (метаданные, источники, единая терминология), и следующая ревизия будет стоить заметно дешевле.</w:t>
      </w:r>
    </w:p>
    <w:p>
      <w:pPr>
        <w:pStyle w:val="Heading1"/>
        <w:spacing w:after="160" w:before="360" w:line="312"/>
      </w:pPr>
      <w:bookmarkStart w:id="100018" w:name="_Toc100018"/>
      <w:r>
        <w:rPr>
          <w:rFonts w:ascii="Arial" w:cs="Arial" w:eastAsia="Arial" w:hAnsi="Arial"/>
          <w:b/>
          <w:bCs/>
          <w:color w:val="0B1C2C"/>
          <w:sz w:val="32"/>
          <w:szCs w:val="32"/>
        </w:rPr>
        <w:t xml:space="preserve">9. Приложение: статистика корпуса и сводка реестра</w:t>
      </w:r>
      <w:bookmarkEnd w:id="100018"/>
    </w:p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Ниже приведена статистика проверенного корпуса и сводка находок по разделам и серьёзности. Полный реестр с цитатами, привязкой к файлам и рекомендациями передан в книге Excel lovii_crm_audit_register.xlsx (лист «Реестр находок», 43 строки; листы «Сводка», «Позитивные проверки», «Методика»).</w:t>
      </w:r>
    </w:p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9. Состав корпуса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Раздел</w:t>
            </w:r>
          </w:p>
        </w:tc>
        <w:tc>
          <w:tcPr>
            <w:tcW w:type="pct" w:w="50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Документы</w:t>
            </w:r>
          </w:p>
        </w:tc>
        <w:tc>
          <w:tcPr>
            <w:tcW w:type="pct" w:w="16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Страниц</w:t>
            </w:r>
          </w:p>
        </w:tc>
      </w:tr>
      <w:tr>
        <w:trPr>
          <w:cantSplit/>
        </w:trPr>
        <w:tc>
          <w:tcPr>
            <w:tcW w:type="pct" w:w="3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Сводки и аудит корпуса</w:t>
            </w:r>
          </w:p>
        </w:tc>
        <w:tc>
          <w:tcPr>
            <w:tcW w:type="pct" w:w="50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index, executive-summary, audit-report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pct" w:w="3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Терминология и сравнения</w:t>
            </w:r>
          </w:p>
        </w:tc>
        <w:tc>
          <w:tcPr>
            <w:tcW w:type="pct" w:w="50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crm-vs-erp, terminology-crm-erp, terminology-franchise, academic-research-agenda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pct" w:w="3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Академические разборы</w:t>
            </w:r>
          </w:p>
        </w:tc>
        <w:tc>
          <w:tcPr>
            <w:tcW w:type="pct" w:w="50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academic/01…17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17</w:t>
            </w:r>
          </w:p>
        </w:tc>
      </w:tr>
      <w:tr>
        <w:trPr>
          <w:cantSplit/>
        </w:trPr>
        <w:tc>
          <w:tcPr>
            <w:tcW w:type="pct" w:w="3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Рынок и архитектура</w:t>
            </w:r>
          </w:p>
        </w:tc>
        <w:tc>
          <w:tcPr>
            <w:tcW w:type="pct" w:w="50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00-market-landscape, 01-reference-architecture, 02-personas-cjm, glossary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pct" w:w="3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Компоненты</w:t>
            </w:r>
          </w:p>
        </w:tc>
        <w:tc>
          <w:tcPr>
            <w:tcW w:type="pct" w:w="50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components/01…12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</w:tr>
      <w:tr>
        <w:trPr>
          <w:cantSplit/>
        </w:trPr>
        <w:tc>
          <w:tcPr>
            <w:tcW w:type="pct" w:w="3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Технические спецификации</w:t>
            </w:r>
          </w:p>
        </w:tc>
        <w:tc>
          <w:tcPr>
            <w:tcW w:type="pct" w:w="50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specs/00…04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pct" w:w="3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Платёжная инфраструктура</w:t>
            </w:r>
          </w:p>
        </w:tc>
        <w:tc>
          <w:tcPr>
            <w:tcW w:type="pct" w:w="50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infrastructure/banks-kassa-ofd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3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SaaS-платформа и демо</w:t>
            </w:r>
          </w:p>
        </w:tc>
        <w:tc>
          <w:tcPr>
            <w:tcW w:type="pct" w:w="50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saas/00…03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pct" w:w="3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Аудиты аналогов</w:t>
            </w:r>
          </w:p>
        </w:tc>
        <w:tc>
          <w:tcPr>
            <w:tcW w:type="pct" w:w="50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competitors/*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</w:tr>
      <w:tr>
        <w:trPr>
          <w:cantSplit/>
        </w:trPr>
        <w:tc>
          <w:tcPr>
            <w:tcW w:type="pct" w:w="3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Выводы и планы</w:t>
            </w:r>
          </w:p>
        </w:tc>
        <w:tc>
          <w:tcPr>
            <w:tcW w:type="pct" w:w="50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gap-analysis, product-blueprint, plan/01…03</w:t>
            </w:r>
          </w:p>
        </w:tc>
        <w:tc>
          <w:tcPr>
            <w:tcW w:type="pct" w:w="16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pct" w:w="3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Каталог схем + демо-приложение</w:t>
            </w:r>
          </w:p>
        </w:tc>
        <w:tc>
          <w:tcPr>
            <w:tcW w:type="pct" w:w="50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diagram-catalog, /demo/ (JS-приложение)</w:t>
            </w:r>
          </w:p>
        </w:tc>
        <w:tc>
          <w:tcPr>
            <w:tcW w:type="pct" w:w="16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</w:tr>
    </w:tbl>
    <w:p>
      <w:pPr>
        <w:keepNext/>
        <w:spacing w:after="80" w:before="160" w:line="312"/>
      </w:pPr>
      <w:r>
        <w:rPr>
          <w:rFonts w:ascii="Arial" w:cs="Arial" w:eastAsia="Arial" w:hAnsi="Arial"/>
          <w:b/>
          <w:bCs/>
          <w:color w:val="0B1C2C"/>
          <w:sz w:val="21"/>
          <w:szCs w:val="21"/>
        </w:rPr>
        <w:t xml:space="preserve">Таблица 10. Находки по разделам и серьёзности</w:t>
      </w:r>
    </w:p>
    <w:tbl>
      <w:tblPr>
        <w:tblW w:type="pct" w:w="100%"/>
        <w:tblBorders>
          <w:top w:val="single" w:color="529286" w:sz="4"/>
          <w:left w:val="none" w:color="FFFFFF" w:sz="0"/>
          <w:bottom w:val="single" w:color="529286" w:sz="4"/>
          <w:right w:val="none" w:color="FFFFFF" w:sz="0"/>
          <w:insideH w:val="single" w:color="BECFCC" w:sz="2"/>
          <w:insideV w:val="none" w:color="FFFFFF" w:sz="0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4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Раздел</w:t>
            </w:r>
          </w:p>
        </w:tc>
        <w:tc>
          <w:tcPr>
            <w:tcW w:type="pct" w:w="1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Критично</w:t>
            </w:r>
          </w:p>
        </w:tc>
        <w:tc>
          <w:tcPr>
            <w:tcW w:type="pct" w:w="1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Средне</w:t>
            </w:r>
          </w:p>
        </w:tc>
        <w:tc>
          <w:tcPr>
            <w:tcW w:type="pct" w:w="1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Низко</w:t>
            </w:r>
          </w:p>
        </w:tc>
        <w:tc>
          <w:tcPr>
            <w:tcW w:type="pct" w:w="14%"/>
            <w:shd w:fill="52928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line="276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Всего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Компоненты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Академические разборы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Резюме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Gap-анализ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Референс-архитектура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Рынок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Аудит-отчёт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Индекс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SaaS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Спецификации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Платёжная инфраструктура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Конкуренты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Терминология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Персоны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Архитектура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Структура сайта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Весь корпус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Несколько разделов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Глоссарий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pct" w:w="14%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pct" w:w="4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Итого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pct" w:w="14%"/>
            <w:shd w:fill="E8ECE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top"/>
          </w:tcPr>
          <w:p>
            <w:pPr>
              <w:spacing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43</w:t>
            </w:r>
          </w:p>
        </w:tc>
      </w:tr>
    </w:tbl>
    <w:p>
      <w:pPr>
        <w:spacing w:after="120" w:line="312"/>
        <w:ind w:firstLine="709"/>
        <w:jc w:val="both"/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Ограничения аудита: проверялась внутренняя согласованность корпуса; внешние первоисточники сверялись выборочно (DINESERV, даты ФТК, положения 152-ФЗ), поэтому отдельные числовые утверждения рынка (оборот, число заведений, цены вендоров на момент публикации) не перепроверялись и требуют отдельной сверки перед инвест-материалами. Живое тестирование демо и конкурентов не входило в объём — корпус сам фиксирует это как следующий шаг; выводы аудита следует пересматривать после ревизии №2 корпуса и получения демо-доступов.</w:t>
      </w:r>
    </w:p>
    <w:sectPr>
      <w:headerReference w:type="default" r:id="rId9"/>
      <w:footerReference w:type="default" r:id="rId10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08080"/>
        <w:sz w:val="18"/>
        <w:szCs w:val="18"/>
      </w:rPr>
      <w:fldChar w:fldCharType="begin"/>
      <w:instrText xml:space="preserve"> PAGE \* ROMAN \* MERGEFORMAT 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08080"/>
        <w:sz w:val="18"/>
        <w:szCs w:val="18"/>
      </w:rPr>
      <w:fldChar w:fldCharType="begin"/>
      <w:instrText xml:space="preserve"> PAGE \* arabic \* MERGEFORMAT 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right"/>
    </w:pPr>
    <w:r>
      <w:rPr>
        <w:rFonts w:ascii="Arial" w:cs="Arial" w:eastAsia="Arial" w:hAnsi="Arial"/>
        <w:color w:val="808080"/>
        <w:sz w:val="18"/>
        <w:szCs w:val="18"/>
      </w:rPr>
      <w:t xml:space="preserve">Аудит документации платформы lovii · октябрь 2026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right"/>
    </w:pPr>
    <w:r>
      <w:rPr>
        <w:rFonts w:ascii="Arial" w:cs="Arial" w:eastAsia="Arial" w:hAnsi="Arial"/>
        <w:color w:val="808080"/>
        <w:sz w:val="18"/>
        <w:szCs w:val="18"/>
      </w:rPr>
      <w:t xml:space="preserve">Аудит документации платформы lovii · октябрь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line="31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60" w:line="312"/>
      <w:outlineLvl w:val="0"/>
    </w:pPr>
    <w:rPr>
      <w:rFonts w:ascii="Arial" w:cs="Arial" w:eastAsia="Arial" w:hAnsi="Arial"/>
      <w:b/>
      <w:bCs/>
      <w:color w:val="0B1C2C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 w:line="312"/>
      <w:outlineLvl w:val="1"/>
    </w:pPr>
    <w:rPr>
      <w:rFonts w:ascii="Arial" w:cs="Arial" w:eastAsia="Arial" w:hAnsi="Arial"/>
      <w:b/>
      <w:bCs/>
      <w:color w:val="0B1C2C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20" w:line="312"/>
      <w:outlineLvl w:val="2"/>
    </w:pPr>
    <w:rPr>
      <w:rFonts w:ascii="Arial" w:cs="Arial" w:eastAsia="Arial" w:hAnsi="Arial"/>
      <w:b/>
      <w:bCs/>
      <w:color w:val="0B1C2C"/>
      <w:sz w:val="24"/>
      <w:szCs w:val="24"/>
    </w:rPr>
  </w:style>
  <w:style w:type="paragraph" w:styleId="Heading4">
    <w:pPr>
      <w:outlineLvl w:val="3"/>
    </w:pPr>
    <w:name w:val="Heading 4"/>
    <w:basedOn w:val="Normal"/>
    <w:next w:val="Normal"/>
    <w:qFormat/>
    <w:rPr>
      <w:i/>
      <w:iCs/>
      <w:color w:val="2E74B5"/>
    </w:rPr>
  </w:style>
  <w:style w:type="paragraph" w:styleId="Heading5">
    <w:pPr>
      <w:outlineLvl w:val="4"/>
    </w:pPr>
    <w:name w:val="Heading 5"/>
    <w:basedOn w:val="Normal"/>
    <w:next w:val="Normal"/>
    <w:qFormat/>
    <w:rPr>
      <w:color w:val="2E74B5"/>
    </w:rPr>
  </w:style>
  <w:style w:type="paragraph" w:styleId="Heading6">
    <w:pPr>
      <w:outlineLvl w:val="5"/>
    </w:pPr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="http://schemas.openxmlformats.org/wordprocessingml/2006/main" w:type="paragraph" w:styleId="9">
    <w:name w:val="toc 1"/>
    <w:basedOn w:val="Normal"/>
    <w:uiPriority w:val="39"/>
    <w:pPr>
      <w:tabs>
        <w:tab w:val="right" w:leader="dot" w:pos="9026"/>
      </w:tabs>
      <w:spacing w:before="120" w:after="60"/>
    </w:pPr>
    <w:rPr>
      <w:b/>
      <w:bCs/>
    </w:rPr>
  </w:style>
  <w:style xmlns:w="http://schemas.openxmlformats.org/wordprocessingml/2006/main" w:type="paragraph" w:styleId="11">
    <w:name w:val="toc 2"/>
    <w:basedOn w:val="Normal"/>
    <w:uiPriority w:val="39"/>
    <w:pPr>
      <w:tabs>
        <w:tab w:val="right" w:leader="dot" w:pos="9026"/>
      </w:tabs>
      <w:ind w:left="360"/>
      <w:spacing w:before="60" w:after="40"/>
    </w:pPr>
  </w:style>
  <w:style xmlns:w="http://schemas.openxmlformats.org/wordprocessingml/2006/main" w:type="paragraph" w:styleId="12">
    <w:name w:val="toc 3"/>
    <w:basedOn w:val="Normal"/>
    <w:uiPriority w:val="39"/>
    <w:pPr>
      <w:tabs>
        <w:tab w:val="right" w:leader="dot" w:pos="9026"/>
      </w:tabs>
      <w:ind w:left="720"/>
      <w:spacing w:before="40" w:after="2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Аудит документации платформы lovii</dc:title>
  <dc:creator>Super Z Audit</dc:creator>
  <cp:lastModifiedBy>Un-named</cp:lastModifiedBy>
  <cp:revision>1</cp:revision>
  <dcterms:created xsi:type="dcterms:W3CDTF">2026-10-10T11:40:34.382Z</dcterms:created>
  <dcterms:modified xsi:type="dcterms:W3CDTF">2026-10-10T11:40:34.382Z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